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151826" cy="106892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1826" cy="10689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 Feeding Hope Fund</w:t>
        <w:br w:type="textWrapping"/>
        <w:t xml:space="preserve">Frequently Asked Questions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does funding begin?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Funding begins in 2024 after the institution has completed the required grant award paperwork.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 I apply as a PI or Co-PI on more than one application?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You are allowed to apply as a PI or Co-PI on more than one application but can only be awarded one grant.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there a budget worksheet for the LOI?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Applicants in round 2 (grant submission round) will complete a detailed budget worksheet which will be provided with the instruction packet.  A budget narrative with details is required for the LOI.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can be included in the budget description?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Description of the funding needs of the project and total amount of request should be included in the LOI.  Allowable costs include staff, equipment, supplies, travel, inpatient/outpatient care costs, and other expenses (direct costs).  Indirect costs should not exceed 10% of the total budget. The budget should reflect the salary and fringe benefits and percentage of time for all parties involved in the grant.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bio-sketches required for all participants?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Yes, a bio-sketch is required for every participant – PI, Co-PI, graduate student, consultant, etc.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a non-citizen, can I apply?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Non-citizens cannot be the PI or Co-PI but may participate as a paid consultant.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a reference list in addition to the 2-page LOI submission allowed?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You may submit references to support your submission however, the review committee prefers that you keep your LOI submission to no more than two pages. If you can fit a reference list in the allowable space, then it is permitted. References as a separate document are not allowed.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0Pom10WbYoSZfMJA2jkRuQYQg==">CgMxLjA4AHIhMS1JVm1KcGR0QVJSOVVPeTJPX3BTMVYxbXRxbHVPVnpZ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2022-08-17T20:15:00Z</dcterms:created>
  <dc:creator>Chris Dockter</dc:creator>
</cp:coreProperties>
</file>